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pStyle w:val="8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контроль субъектов хозяйствования, осуществляющих эксплуатацию плавательных бассейнов, аквапарков.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559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276"/>
        <w:gridCol w:w="2977"/>
        <w:gridCol w:w="1701"/>
        <w:gridCol w:w="1984"/>
        <w:gridCol w:w="1843"/>
        <w:gridCol w:w="198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нормируемого показателя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977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1701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производственного контроля</w:t>
            </w:r>
          </w:p>
        </w:tc>
        <w:tc>
          <w:tcPr>
            <w:tcW w:w="1984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Кратность проведения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 точка отбора, место проведения измерений*</w:t>
            </w:r>
          </w:p>
        </w:tc>
        <w:tc>
          <w:tcPr>
            <w:tcW w:w="1981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документ (пункт)</w:t>
            </w:r>
          </w:p>
        </w:tc>
        <w:tc>
          <w:tcPr>
            <w:tcW w:w="1705" w:type="dxa"/>
            <w:vAlign w:val="center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Производственный контроль </w:t>
            </w:r>
            <w:r>
              <w:rPr>
                <w:rStyle w:val="10"/>
                <w:b/>
              </w:rPr>
              <w:t>факторов среды обитания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производственный контроль (осуществляется силами субъекта хозяйствования)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Допускается проводить с использованием визуальных и (или) инструментальных тест-наборов (экспресс-тестов), специально предназначенных для этих целей, при соблюдении условий их использования, установленных производителем. При использовании систем водоподготовки, оборудование которых обеспечивает автоматическое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дозирование реагентов и позволяет осуществлять контроль физико-химических показателей безопасности воды ванн бассейнов, в рамках текущего производственного контроля проводится дополнительный контроль этих показателей с использованием визуальных и (или) инструментальных тест-наборов (экспресс-тестов).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Температура воды ванны бассейна  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>для оздоровительного плавания детей – 28–30;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для оздоровительного плавания взрослых – 26–28;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для занятий водными видами спорта – 24–26;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в детских бассейнах глубиной до 60 см – в пределах 29–32.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ежедневно перед началом работы бассейна и далее каждые 4 часа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вода ванны бассейна  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>СанНиП №44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10"/>
                <w:sz w:val="12"/>
                <w:szCs w:val="12"/>
              </w:rPr>
              <w:t>При проведении официальных республиканских спортивных соревнований или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официальных международных спортивных соревнований и подготовке к ним могут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устанавливаться иные параметры температуры воды в ванне бассейна в соответствии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с правилами спортивных соревнований по виду спорта и (или) положением о проведении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(регламентом проведения) спортивного соревнования.</w:t>
            </w:r>
            <w:r>
              <w:rPr>
                <w:sz w:val="12"/>
                <w:szCs w:val="1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Температура воздуха зала бассейна с ваннами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°C 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для оздоровительного плавания детей – 29–32;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для оздоровительного плавания взрослых – 27–30;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для занятий водными видами спорта – 25–28;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в детских бассейнах глубиной до 60 см – в пределах 30–34.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ежедневно перед началом работы бассейна и далее каждые 4 часа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бассейна с ваннами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>СанНиП №44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NewRomanPSMT" w:hAnsi="TimesNewRomanPSMT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Style w:val="10"/>
                <w:sz w:val="12"/>
                <w:szCs w:val="12"/>
              </w:rPr>
              <w:t>При одновременном размещении в зале бассейна нескольких ванн с разной температурой воды температура воздуха определяется по температуре воды ванны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наибольшей площади.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Относительная влажность воздуха зала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бассейна с ваннами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 xml:space="preserve">не более 65 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ежедневно перед началом работы бассейна и далее каждые 4 часа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 бассейна с ваннами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>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Температура воздуха в раздевальных и душевых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°C 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"/>
                <w:color w:val="auto"/>
              </w:rPr>
              <w:t>24–26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ежедневно перед началом работы бассейна и далее каждые 4 часа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в раздевальных и душевых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п.23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>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Style w:val="1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Остаточное содержание дезинфицирующих средств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воде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(за исключением ванн бассейнов, при эксплуатации которых дезинфекция воды не проводится)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период функционирования</w:t>
            </w:r>
            <w:r>
              <w:rPr>
                <w:rFonts w:ascii="Times New Roman" w:hAnsi="Times New Roman" w:cs="Times New Roman"/>
              </w:rPr>
              <w:t xml:space="preserve"> бассейна: остаточный хлор свободный – в пределах 0,3 - 0,5 – при проведении учебно-тренировочных занятий;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0,5 - 0,7 – в иных случаях;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в возрасте 1 – 6 лет – 0,1 - 0,3 при условии отсутствия в воде колифагов;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совместном применении ультрафиолетового излучения и хлорирования – до 0,3;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бром – 0,8 - 1,5;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озон – 0,1 - 0,3;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период продолжительного перерыва</w:t>
            </w:r>
            <w:r>
              <w:rPr>
                <w:rFonts w:ascii="Times New Roman" w:hAnsi="Times New Roman" w:cs="Times New Roman"/>
              </w:rPr>
              <w:t xml:space="preserve"> в эксплуатации бассейна (от 6 часов и более):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хлор свободный – не более 1,5;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связанный хлор и бром – не более 2,0;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озон – не более 0,5.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 началу приема посетителей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Style w:val="10"/>
                <w:color w:val="auto"/>
              </w:rPr>
            </w:pPr>
            <w:r>
              <w:rPr>
                <w:rFonts w:ascii="Times New Roman" w:hAnsi="Times New Roman" w:cs="Times New Roman"/>
              </w:rPr>
              <w:t>при концентрации общего остаточного хлора на уровне 0,8 - 1,2 содержание свободного остаточного хлора должно составлять не более 0,2.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ежедневно перед началом работы бассейна и далее каждые 4 часа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п.34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 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Style w:val="10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Выбор контролируемых показателей остаточного содержания дезинфицирующих средств определяется с учетом применяемого метода обеззараживания воды в ванне бассейна, инструкции по применению дезинфицирующего средства, таблицы 7 гигиенического норматива 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Водородный показатель (рН) воды ванны бассейна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  <w:t>единицы рН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  <w:t>рекомендуемый диапазон значений при использовании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  <w:t>хлорсодержащих дезинфицирующих средств составляет 7,2–7,8, но не более 7,8;</w:t>
            </w:r>
          </w:p>
          <w:p>
            <w:pPr>
              <w:pStyle w:val="8"/>
              <w:jc w:val="both"/>
              <w:rPr>
                <w:rStyle w:val="10"/>
                <w:rFonts w:eastAsia="Times New Roman" w:asciiTheme="minorHAnsi" w:hAnsiTheme="minorHAnsi"/>
                <w:sz w:val="24"/>
                <w:szCs w:val="24"/>
              </w:rPr>
            </w:pP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eastAsia="Times New Roman" w:cs="Times New Roman"/>
                <w:color w:val="000000"/>
                <w:sz w:val="24"/>
                <w:szCs w:val="24"/>
              </w:rPr>
              <w:t>использовании бромсодержащих и иных дезинфицирующих средств – 7,2–8,0.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ежедневно перед началом работы бассейна и далее каждые 4 часа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п.33 и приложение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СанНиП №44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Style w:val="10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За исключением ванн бассейнов, при эксплуатации которых дезинфекция воды не проводится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pStyle w:val="8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Периодический производственный контроль (осуществляется в аккредитованных испытательных лабораториях (центрах))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Физико-химические показатели безопасности воды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в ванне бассейна</w:t>
            </w:r>
          </w:p>
          <w:p>
            <w:pPr>
              <w:pStyle w:val="8"/>
              <w:jc w:val="both"/>
              <w:rPr>
                <w:rFonts w:ascii="TimesNewRomanPSMT" w:hAnsi="TimesNewRomanPSMT" w:eastAsia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(за исключением показателей остаточного содержания дезинфицирующих средств и водородного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показателя (рН) воды ванны бассейна)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В бассейнах с природной минеральной водой и купажированной питьевой водой, изготовленной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путем смешивания природных минеральных вод, искусственно минерализованной питьевой водой,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производственный контроль физико-химических показателей безопасности «запах», «цветность»,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«мутность», водородного показателя (рН) воды ванны бассейна не проводится.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мутность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2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цветность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градусы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5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запах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баллы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3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аммонийные ионы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увеличение не более чем в 2 раза по сравнению с исходным значением в питьевой воде до ввода в чашу бассейна (ПДК – 2</w:t>
            </w:r>
            <w:r>
              <w:rPr>
                <w:rFonts w:ascii="Times New Roman" w:hAnsi="Times New Roman" w:cs="Times New Roman"/>
              </w:rPr>
              <w:t xml:space="preserve">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При проведении производственного контроля по физико-химическим показателям безопасности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«аммонийные ионы» и «хлорид-ион» определяется их исходное содержание в воде, используемой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для наполнения ванны бассейна.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хлорид-ион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увеличение не более чем на 200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увеличение не более чем на 700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обеззараживании воды гипохлоритом натрия, получаемым электролизом поваренной соли)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по сравнению с исходным значением в питьевой воде до ввода в чашу бассейна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При проведении производственного контроля по физико-химическим показателям безопасности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«аммонийные ионы» и «хлорид-ион» определяется их исходное содержание в воде, используемой</w:t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  <w:t>для наполнения ванны бассейна.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Физико-химические показатели безопасности воды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 вводе в ванну бассейна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 на вводе в чашу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34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705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аммонийные ионы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хлорид-ион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не более 350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</w:tc>
        <w:tc>
          <w:tcPr>
            <w:tcW w:w="170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NewRomanPSMT" w:hAnsi="TimesNewRomanPSMT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Основные микробиологические показатели безопасности воды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ванне бассейна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2 раза в месяц 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34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число образующих колонии бактерий (КОЕ)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число образующих колонии бактерий 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Колифаги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число бляшкообразующих единиц (БОЕ)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2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Лецитиназоположительные стафилококки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число образующих колонии бактерий 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микробиологические показатели безопасности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ванне бассейна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при установлении несоответствия по 1 или нескольким основным микробиологическим показателям безопасности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34 и приложение к 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705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Возбудители инфекционных заболеваний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Pseudomonas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aeruginosa</w:t>
            </w:r>
            <w:r>
              <w:rPr>
                <w:rFonts w:ascii="Times New Roman" w:hAnsi="Times New Roman" w:cs="Times New Roman"/>
              </w:rPr>
              <w:t xml:space="preserve"> (синегнойная палочка)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Паразитологические показатели безопасности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ванне бассейна</w:t>
            </w:r>
          </w:p>
        </w:tc>
        <w:tc>
          <w:tcPr>
            <w:tcW w:w="170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квартал, а также при установлении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несоответствия по 1 или нескольким основным микробиологическим показателям безопасности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34 и приложение к 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цист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50 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и личинки гельминтов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яиц и личинок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50 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Микробиологические показатели безопасности воды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централизованной системы питьевого водоснабжения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бассейна 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</w:t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п.п., 18, 34 и приложение к 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питьевой воды»,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1</w:t>
            </w:r>
          </w:p>
        </w:tc>
        <w:tc>
          <w:tcPr>
            <w:tcW w:w="1705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 (ТКБ)</w:t>
            </w: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Общие колиформные бактерии (ОКБ) </w:t>
            </w: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Общее микробное число (ОМЧ) </w:t>
            </w:r>
          </w:p>
        </w:tc>
        <w:tc>
          <w:tcPr>
            <w:tcW w:w="1276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образующих колонии бактерий в 1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0" w:type="dxa"/>
            <w:gridSpan w:val="3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безопасности по химическому составу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централизованной системы питьевого водоснабжения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бассейна 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843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</w:t>
            </w:r>
          </w:p>
        </w:tc>
        <w:tc>
          <w:tcPr>
            <w:tcW w:w="1981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п.п., 18, 34 и приложение к СанНиП №44, ГН №37 </w:t>
            </w:r>
            <w:r>
              <w:rPr>
                <w:rFonts w:ascii="Times New Roman" w:hAnsi="Times New Roman" w:cs="Times New Roman"/>
              </w:rPr>
              <w:t>«Показатели безопасности питьевой воды»,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2</w:t>
            </w:r>
          </w:p>
        </w:tc>
        <w:tc>
          <w:tcPr>
            <w:tcW w:w="1705" w:type="dxa"/>
            <w:vMerge w:val="restart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водородный показатель (рН)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рН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6 – 9 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окисляемость перманганатная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 жесткости (</w:t>
            </w:r>
            <w:r>
              <w:rPr>
                <w:rFonts w:ascii="Times New Roman" w:hAnsi="Times New Roman" w:cs="Times New Roman"/>
                <w:b/>
                <w:bCs/>
              </w:rPr>
              <w:t>°</w:t>
            </w:r>
            <w:r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7,0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(Fe)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continue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>Legionella pneumophila (легионелла)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образующих колонии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бактерий в 1 </w:t>
            </w:r>
            <w:r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системы горячего и холодного водоснабжения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 и приложение к </w:t>
            </w:r>
            <w:r>
              <w:rPr>
                <w:rFonts w:ascii="Times New Roman" w:hAnsi="Times New Roman" w:cs="Times New Roman"/>
                <w:color w:val="000000"/>
              </w:rPr>
              <w:t xml:space="preserve">СанНиП №44, ГН №37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«Показатели безопасности питьевой воды»,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1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Подвижность воздуха залов бассейнов с ваннами</w:t>
            </w:r>
            <w:r>
              <w:rPr>
                <w:rStyle w:val="10"/>
              </w:rPr>
              <w:t xml:space="preserve"> (скорость движения воздуха)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"/>
              </w:rPr>
              <w:t>м/с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0"/>
              </w:rPr>
              <w:t>не более 0,2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после установки, обслуживания и ремонта систем вентиляции и кондиционирования воздуха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 бассейнов с ваннами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п.37 и </w:t>
            </w:r>
            <w:r>
              <w:rPr>
                <w:rFonts w:ascii="Times New Roman" w:hAnsi="Times New Roman" w:cs="Times New Roman"/>
                <w:color w:val="000000"/>
              </w:rPr>
              <w:t>приложение к 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Производственный контроль в отношении рабочих мест</w:t>
            </w:r>
          </w:p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(осуществляется в аккредитованных испытательных лабораториях (центрах))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Показатели искусственного освещения 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лк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</w:rPr>
              <w:t>в соответствии с ГН №37 «Показатели безопасности для человека световой среды помещений производственных, общественных и жилых зданий».</w:t>
            </w:r>
          </w:p>
        </w:tc>
        <w:tc>
          <w:tcPr>
            <w:tcW w:w="170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год – в случаях имеющихся превышений уровней факторов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производственной среды в предшествующем году, а также в первые два года проведения контроля производственных факторов;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2 года – в случаях отсутствия нарушений гигиенических нормативов на протяжении двух последних лет (по данным лабораторных исследований).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СП 1.1.8-24-2003, п. 4 СанНиП №44, п. 34 ССЭТ №66, п. 18 ОСЭТ, ГН №37 «Показатели безопасности для человека световой среды помещений производственных, общественных и жилых зданий»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Уровень шума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дБ, дБА</w:t>
            </w:r>
          </w:p>
        </w:tc>
        <w:tc>
          <w:tcPr>
            <w:tcW w:w="297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</w:rPr>
              <w:t>в соответствии с ГН №37 «Показатели безопасности и безвредности шумового воздействия на человека».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год – в случаях имеющихся превышений уровней факторов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производственной среды в предшествующем году, а также в первые два года проведения контроля производственных факторов;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1 раз в 2 года – в случаях отсутствия нарушений гигиенических нормативов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на протяжении двух последних лет (по данным лабораторных исследований).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СП 1.1.8-24-2003, п. 4 СанНиП №44, п. 34 ССЭТ №66, п. 18 ОСЭТ, ГН №37 «Показатели безопасности и безвредности шумового воздействия на человека»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Параметры микроклимата (температура, относительная влажность, скорость движения воздуха)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</w:rPr>
              <w:t>°C, %, м/с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</w:rPr>
              <w:t>в соответствии с ГН №37 «Микроклиматические показатели безопасности и безвредности на рабочих местах».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 раза в год (в холодный и теплый периоды года)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 холодным периодом года понимается период года, в котором среднесуточная температура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наружного воздуха составляет 8 °С и ниже.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 теплым периодом года понимается период года, в котором среднесуточная температура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наружного воздуха составляет выше 8 °С.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СП 1.1.8-24-2003, п. 4 СанНиП №44, п. 35 ССЭТ №66, п. 18 ОСЭТ, ГН №37 «Микроклиматические показатели безопасности и безвредности на рабочих местах»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Содержание вредных веществ в воздухе рабочей зоны </w:t>
            </w:r>
          </w:p>
        </w:tc>
        <w:tc>
          <w:tcPr>
            <w:tcW w:w="1276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допустимая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концентрация,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СанНиП №92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 – в случаях, когда интенсивность выделения в воздушную среду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вредных веществ 3 и 4 классов опасности сохраняется на протяжении двух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последних лет (по данным лабораторных исследований) на уровне ПДК или ОБУВ и ниже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их;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1 раз в полугодие – в случаях имеющихся превышений ПДК или ОБУВ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вредных веществ 3 и 4 классов опасности в предшествующем году, а также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в первые два года проведения контроля производственных факторов;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1 раз в полугодие – при стабильной регистрации в воздухе рабочей зоны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содержания вредных веществ 1 и 2 классов опасности на уровне ПДК или ОБУВ и ниже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их за два последних года;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1 раз в квартал – в случаях имеющихся превышений ПДК или ОБУВ в воздухе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рабочей зоны вредных веществ 1 и 2 классов опасности в предшествующем году, а также</w:t>
            </w:r>
            <w:r>
              <w:rPr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в первые два года проведения контроля производственных факторов.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СП 1.1.8-24-2003, п. 4 СанНиП №44, п. 33 ССЭТ №66, п. 18 ОСЭТ, СанНиП №92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pStyle w:val="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контролируемые параметры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10"/>
              </w:rPr>
              <w:t>Профилактический осмотр, обслуживание и ремонт систем вентиляции</w:t>
            </w:r>
            <w:r>
              <w:rPr>
                <w:rFonts w:ascii="TimesNewRomanPSMT" w:hAnsi="TimesNewRomanPSMT"/>
                <w:color w:val="000000"/>
              </w:rPr>
              <w:br w:type="textWrapping"/>
            </w:r>
            <w:r>
              <w:rPr>
                <w:rStyle w:val="10"/>
              </w:rPr>
              <w:t xml:space="preserve">и кондиционирования воздуха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10"/>
                <w:color w:val="auto"/>
              </w:rPr>
              <w:t>не реже 1 раза в 3 года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объекта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СанНиП №44, п. 19 ОСЭТ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</w:rPr>
              <w:t xml:space="preserve">Санитарная обработка (механическая очистка (при необходимости), предварительная и повторная промывка) и дезинфекция сетей централизованной системы питьевого водоснабжения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 не реже 1  раза в 3 года;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ухудшения качества и безопасности питьевой воды;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длительной остановки подачи воды в централизованной системе питьевого водоснабжения (48 часов и более);</w:t>
            </w:r>
          </w:p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Fonts w:ascii="Times New Roman" w:hAnsi="Times New Roman" w:cs="Times New Roman"/>
              </w:rPr>
              <w:t>при возникновении аварий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сети централизованной системы питьевого водоснабжения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 ССЭТ №914, п. 53 СанНиП №69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плановом порядке проводится  после санитарной обработки наружных водопроводных 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Проведение дератизационных и дезинсекционных мероприятий специализированными организациями по заключенным договорам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не реже 1 раза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10"/>
                <w:color w:val="auto"/>
              </w:rPr>
              <w:t>в месяц и по эпидемическим показаниям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объекта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 СанНиП №44, п. 5 ОСЭТ, п.5 СП №54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Водообмен (объемный расход) в бассейне проточного типа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менее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</w:rPr>
              <w:t>15 % объема ванны бассейна в час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 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Водоподготовка в бассейне рециркуляционного типа с добавлением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во время работы бассейна свежей воды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менее 10 % объема ванны в сутки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 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Водообмен (объемный расход) в бассейне рециркуляционного типа в расчете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</w:rPr>
              <w:t>на 1 человека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при хлорировании, бромировании, хлорировании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</w:rPr>
              <w:t>(бромировании) с дополнительной обработкой ультрафиолетовым излучением не менее 2,0 м3/ч;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при хлорировании (бромировании) с дополнительным озонированием – не менее 1,67 м3/ч.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33 СанНиП №44</w:t>
            </w:r>
          </w:p>
        </w:tc>
        <w:tc>
          <w:tcPr>
            <w:tcW w:w="1705" w:type="dxa"/>
          </w:tcPr>
          <w:p>
            <w:pPr>
              <w:pStyle w:val="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 xml:space="preserve">Минимальная площадь зеркала воды ванны бассейна на 1 человека </w:t>
            </w:r>
          </w:p>
          <w:p>
            <w:pPr>
              <w:spacing w:after="0" w:line="240" w:lineRule="auto"/>
              <w:jc w:val="both"/>
              <w:rPr>
                <w:rStyle w:val="1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для взрослых не менее 5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Style w:val="10"/>
              </w:rPr>
              <w:t>;</w:t>
            </w:r>
          </w:p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Style w:val="10"/>
              </w:rPr>
              <w:t>для детей – не менее 4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Style w:val="10"/>
              </w:rPr>
              <w:t>.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35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10"/>
                <w:sz w:val="12"/>
                <w:szCs w:val="12"/>
              </w:rPr>
              <w:t>В бассейнах, предназначенных для занятий физической культурой и спортом,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минимальная площадь зеркала воды на 1 человека определяется в соответствии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с планово-расчетными показателями количества лиц, занимающихся физической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культурой и спортом, и режимов эксплуатации отдельных физкультурно-спортивных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сооружений, установленных в Инструкции о классификации физкультурно-спортивных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сооружений Республики Беларусь и требованиях к их работе.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8"/>
          </w:tcPr>
          <w:p>
            <w:pPr>
              <w:spacing w:after="0" w:line="240" w:lineRule="auto"/>
              <w:jc w:val="center"/>
              <w:rPr>
                <w:rStyle w:val="10"/>
                <w:b/>
                <w:bCs/>
              </w:rPr>
            </w:pPr>
            <w:r>
              <w:rPr>
                <w:rStyle w:val="10"/>
                <w:b/>
                <w:bCs/>
              </w:rPr>
              <w:t>Текущая уборка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Текущая уборка залов бассейна с ваннами, туалетов, раздевальных, душевых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на протяжении рабочего дня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10"/>
              </w:rPr>
              <w:t>залы бассейна с ваннами, туалетов, раздевальные, душевые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Текущая уборка всех помещений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ежедневно в конце рабочего дня с применением дезинфицирующих средств по фунгицидному режиму, обеспечивающему противогрибковое действие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все помещения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Опорожнение, механическая очистка и дезинфекция проходных ножных ванн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ежедневно в конце рабочего дня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проходные ножные ванны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Очистка ванн мини-бассейнов и не относящихся к ним бассейнов (купелей) с ванной длиной менее 6 м и шириной менее 3 м с проточной системой водообмена или с периодической сменой воды, вихревых ванн (джакузи, гидромассажных ванн), включающую полный слив воды, механическую очистку и дезинфекцию стен и дна ванны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ежедневно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ванны мини-бассейнов и не относящиеся к ним бассейны (купели) с ванной длиной менее 6 м и шириной менее 3 м с проточной системой водообмена или с периодической сменой воды, вихревые ванны (джакузи, гидромассажные ванны)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Механическая очистка стен и дна ванны бассейна с применением ручных и (или)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автоматических чистящих приборов; опорожнение, механическая очистка и дезинфекция переливных лотков с решетками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не реже 1 раза в неделю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Опорожнение, механическая очистка и дезинфекция балансного резервуара (переливной емкости)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не реже 1 раза в полугодие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Style w:val="10"/>
              </w:rPr>
              <w:t>балансный резервуар (переливная емкость)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Опорожнение, механическая очистка и дезинфекция балансного резервуара (переливной емкости) вихревой ванны (джакузи, гидромассажной ванны)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ежеквартально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балансный резервуар (переливная емкость) вихревой ванны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(джакузи, гидромассажной ванны)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after="0" w:line="240" w:lineRule="auto"/>
              <w:jc w:val="both"/>
              <w:rPr>
                <w:rStyle w:val="10"/>
              </w:rPr>
            </w:pPr>
            <w:r>
              <w:rPr>
                <w:rStyle w:val="10"/>
              </w:rPr>
              <w:t>Дополнительная обработка воды дезинфицирующими средствами в бассейне рециркуляционного типа без полного слива воды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не реже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10"/>
              </w:rPr>
              <w:t>1 раза в месяц одновременно с проведением генеральной уборки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>ванна бассейна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38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2"/>
                <w:szCs w:val="12"/>
              </w:rPr>
            </w:pPr>
            <w:r>
              <w:rPr>
                <w:rStyle w:val="10"/>
                <w:sz w:val="12"/>
                <w:szCs w:val="12"/>
              </w:rPr>
              <w:t>При дополнительной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обработке воды рекомендуется использовать повышенную дозу дезинфицирующего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Style w:val="10"/>
                <w:sz w:val="12"/>
                <w:szCs w:val="12"/>
              </w:rPr>
              <w:t>средства в соответствии с инструкцией по применению.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Style w:val="10"/>
              </w:rPr>
              <w:t xml:space="preserve">Генеральная уборка всех помещений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не реже 1 раза в месяц и по эпидемическим показаниям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объекта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 СанНиП №44, п. 66 ОСЭТ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за сроками годности лекарственных средств в аптечке первой помощи универсальной (ППУ).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не реже 1 раза в год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аптечка ППУ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СанНиП №44, п. 10 ОСЭТ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установленных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производителем условий хранения и сроков годности, наличия надлежащей маркировки  парфюмерно-косметической продукции,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синтетических моющих средств и товаров бытовой химии, дезинфицирующих средств, реагентов, используемых для водоочистки и водоподготовки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входной, 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ежедневно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для хранения и использования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установленных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производителем условий хранения и сроков годности, наличия надлежащей маркировки  упакованной питьевой воды и (или) установок с дозированным розливом упакованной питьевой воды (кулеров)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входной, 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ежедневно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для хранения и использования</w:t>
            </w:r>
          </w:p>
        </w:tc>
        <w:tc>
          <w:tcPr>
            <w:tcW w:w="1981" w:type="dxa"/>
          </w:tcPr>
          <w:p>
            <w:pPr>
              <w:pStyle w:val="8"/>
              <w:tabs>
                <w:tab w:val="left" w:pos="36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Очистка и техническое обслуживание структурных элементов установок с дозированным розливом упакованной питьевой воды (кулеров)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регулярно 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в соответствии с рекомендациями поставщика (производителя)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для использования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 наличия запаса и использования одноразовой посуды при организации питьевого режима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Style w:val="10"/>
                <w:color w:val="auto"/>
              </w:rPr>
            </w:pPr>
            <w:r>
              <w:rPr>
                <w:rStyle w:val="10"/>
                <w:color w:val="auto"/>
              </w:rPr>
              <w:t>ежедневно</w:t>
            </w:r>
          </w:p>
        </w:tc>
        <w:tc>
          <w:tcPr>
            <w:tcW w:w="1843" w:type="dxa"/>
          </w:tcPr>
          <w:p>
            <w:pPr>
              <w:pStyle w:val="8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помещения для хранения и использования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Style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Прохождение отдельными категориями работников предварительных (при поступлении на работу) и периодических (в течение трудовой деятельности) обязательных медицинских осмотров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порядке, установленном Министерством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здравоохранения по согласованию с Министерством труда и социальной защиты</w:t>
            </w:r>
          </w:p>
          <w:p>
            <w:pPr>
              <w:pStyle w:val="8"/>
              <w:jc w:val="both"/>
              <w:rPr>
                <w:rStyle w:val="10"/>
                <w:color w:val="auto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 СанНиП №44, Инструкция №74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Прохождение гигиенического обучения работниками, деятельность которых связана с производством, хранением,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 xml:space="preserve">транспортировкой и реализацией питьевой воды, обучением и воспитанием детей, коммунальным и бытовым обслуживанием населения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работников, связанных с производством, хранением, транспортировкой и реализацией питьевой воды – 1 раз в 3 года;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для работников, связанных с </w:t>
            </w:r>
            <w:r>
              <w:rPr>
                <w:rFonts w:ascii="Times New Roman" w:hAnsi="Times New Roman" w:cs="Times New Roman"/>
                <w:color w:val="000000"/>
              </w:rPr>
              <w:t>обучением и воспитанием детей, коммунальным и бытовым обслуживанием населения – 1 раз в 2 года.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13 СанНиП №44, Инструкция №90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заключения по результатам государственной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санитарно-гигиенической экспертизы работ и услуг, представляющих потенциальную опасность для жизни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>и здоровья населения, согласно перечню, определяемому Министерством здравоохранения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начале деятельности и далее 1 раз в 3 года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 СанНиП №44</w:t>
            </w:r>
          </w:p>
        </w:tc>
        <w:tc>
          <w:tcPr>
            <w:tcW w:w="1705" w:type="dxa"/>
          </w:tcPr>
          <w:p>
            <w:pPr>
              <w:spacing w:after="0" w:line="240" w:lineRule="auto"/>
              <w:rPr>
                <w:rStyle w:val="1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Устранение последствий аварий на канализационных, водопроводных сетях и сетях отопления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суток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10"/>
              </w:rPr>
            </w:pPr>
            <w:r>
              <w:rPr>
                <w:rStyle w:val="10"/>
              </w:rPr>
              <w:t>помещения объекта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19 СанНиП №44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Style w:val="10"/>
                <w:sz w:val="12"/>
                <w:szCs w:val="12"/>
              </w:rPr>
            </w:pP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t>После устранения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t>последствий аварии помещения подвальных, цокольных, технических этажей очищаются,</w:t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br w:type="textWrapping"/>
            </w:r>
            <w:r>
              <w:rPr>
                <w:rFonts w:ascii="TimesNewRomanPSMT" w:hAnsi="TimesNewRomanPSMT"/>
                <w:color w:val="000000"/>
                <w:sz w:val="12"/>
                <w:szCs w:val="12"/>
              </w:rPr>
              <w:t>дезинфицируются и проветриваются.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Устранение выявленных неисправностей, дефектов систем вентиляции и кондиционирования </w:t>
            </w:r>
          </w:p>
        </w:tc>
        <w:tc>
          <w:tcPr>
            <w:tcW w:w="1276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2977" w:type="dxa"/>
          </w:tcPr>
          <w:p>
            <w:pPr>
              <w:pStyle w:val="8"/>
              <w:jc w:val="center"/>
              <w:rPr>
                <w:rStyle w:val="10"/>
              </w:rPr>
            </w:pPr>
            <w:r>
              <w:rPr>
                <w:rStyle w:val="10"/>
              </w:rPr>
              <w:t>–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</w:t>
            </w:r>
          </w:p>
        </w:tc>
        <w:tc>
          <w:tcPr>
            <w:tcW w:w="1984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безотлагательно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10"/>
              </w:rPr>
            </w:pPr>
            <w:r>
              <w:rPr>
                <w:rStyle w:val="10"/>
              </w:rPr>
              <w:t>помещения объекта</w:t>
            </w:r>
          </w:p>
        </w:tc>
        <w:tc>
          <w:tcPr>
            <w:tcW w:w="1981" w:type="dxa"/>
          </w:tcPr>
          <w:p>
            <w:pPr>
              <w:pStyle w:val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СанНиП №44</w:t>
            </w:r>
          </w:p>
        </w:tc>
        <w:tc>
          <w:tcPr>
            <w:tcW w:w="1705" w:type="dxa"/>
          </w:tcPr>
          <w:p>
            <w:pPr>
              <w:pStyle w:val="8"/>
              <w:jc w:val="both"/>
              <w:rPr>
                <w:rFonts w:ascii="TimesNewRomanPSMT" w:hAnsi="TimesNewRomanPSMT"/>
                <w:color w:val="000000"/>
                <w:sz w:val="10"/>
                <w:szCs w:val="10"/>
              </w:rPr>
            </w:pPr>
          </w:p>
        </w:tc>
      </w:tr>
    </w:tbl>
    <w:p>
      <w:pPr>
        <w:pStyle w:val="8"/>
        <w:ind w:firstLine="708"/>
        <w:rPr>
          <w:rFonts w:ascii="TimesNewRomanPSMT" w:hAnsi="TimesNewRomanPSMT" w:eastAsia="Times New Roman" w:cs="Times New Roman"/>
          <w:color w:val="000000"/>
          <w:sz w:val="24"/>
          <w:szCs w:val="24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eastAsia="Times New Roman" w:cs="Times New Roman"/>
          <w:b/>
          <w:color w:val="000000"/>
          <w:sz w:val="20"/>
          <w:szCs w:val="20"/>
          <w:lang w:eastAsia="ru-RU"/>
        </w:rPr>
        <w:t>* Правила отбора</w:t>
      </w:r>
      <w:r>
        <w:rPr>
          <w:rFonts w:ascii="TimesNewRomanPSMT" w:hAnsi="TimesNewRomanPSMT" w:eastAsia="Times New Roman" w:cs="Times New Roman"/>
          <w:color w:val="000000"/>
          <w:sz w:val="20"/>
          <w:szCs w:val="20"/>
          <w:lang w:eastAsia="ru-RU"/>
        </w:rPr>
        <w:t>: отбор проб воды ванны бассейна проводится не менее чем в двух точках: поверхностный слой воды толщиной 0,5–1,0 см и на глубине 25–30 см от поверхности зеркала воды. В бассейне, оборудованном скиммером (устройством с плавающей заслонкой, расположенном на стене ванны бассейна на уровне зеркала воды и предназначенном для очистки водной поверхности), отбор проб воды осуществляется в каждом углу ванны. В случае если бассейн, оборудованный скиммером, имеет непрямоугольную форму, осуществляется дополнительный отбор проб воды в примыкающих к основному объему выступах ванны.</w:t>
      </w: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СанНиП №44 – 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утвержденные постановлением Министерства здравоохранения Республики Беларусь от 16.05.2022 №44;</w:t>
      </w:r>
    </w:p>
    <w:p>
      <w:pPr>
        <w:pStyle w:val="8"/>
        <w:jc w:val="both"/>
        <w:rPr>
          <w:rStyle w:val="10"/>
          <w:color w:val="auto"/>
          <w:sz w:val="16"/>
          <w:szCs w:val="16"/>
        </w:rPr>
      </w:pPr>
      <w:r>
        <w:rPr>
          <w:rStyle w:val="11"/>
          <w:b w:val="0"/>
          <w:bCs w:val="0"/>
          <w:color w:val="auto"/>
          <w:sz w:val="16"/>
          <w:szCs w:val="16"/>
        </w:rPr>
        <w:t xml:space="preserve">ССЭТ №66 – Специфические санитарно-эпидемиологические требования к условиям труда работающих, утвержденные постановлением  </w:t>
      </w:r>
      <w:r>
        <w:rPr>
          <w:rStyle w:val="10"/>
          <w:color w:val="auto"/>
          <w:sz w:val="16"/>
          <w:szCs w:val="16"/>
        </w:rPr>
        <w:t>Совета Министров Республики Беларусь от 01.02.2020 № 66;</w:t>
      </w:r>
    </w:p>
    <w:p>
      <w:pPr>
        <w:pStyle w:val="16"/>
        <w:jc w:val="both"/>
      </w:pPr>
      <w:r>
        <w:rPr>
          <w:rStyle w:val="11"/>
          <w:b w:val="0"/>
          <w:bCs w:val="0"/>
          <w:color w:val="auto"/>
          <w:sz w:val="16"/>
          <w:szCs w:val="16"/>
        </w:rPr>
        <w:t xml:space="preserve">ССЭТ №914 – 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 </w:t>
      </w:r>
      <w:r>
        <w:rPr>
          <w:rStyle w:val="10"/>
          <w:color w:val="auto"/>
          <w:sz w:val="16"/>
          <w:szCs w:val="16"/>
        </w:rPr>
        <w:t>Совета Министров Республики Беларусь от 19.12.2018 № 914;</w:t>
      </w:r>
    </w:p>
    <w:p>
      <w:pPr>
        <w:pStyle w:val="8"/>
        <w:jc w:val="both"/>
        <w:rPr>
          <w:rStyle w:val="10"/>
          <w:color w:val="auto"/>
          <w:sz w:val="16"/>
          <w:szCs w:val="16"/>
        </w:rPr>
      </w:pPr>
      <w:r>
        <w:rPr>
          <w:rStyle w:val="10"/>
          <w:color w:val="auto"/>
          <w:sz w:val="16"/>
          <w:szCs w:val="16"/>
        </w:rPr>
        <w:t xml:space="preserve">ОСЭТ – </w:t>
      </w:r>
      <w:r>
        <w:rPr>
          <w:rFonts w:ascii="Times New Roman" w:hAnsi="Times New Roman" w:cs="Times New Roman"/>
          <w:bCs/>
          <w:sz w:val="16"/>
          <w:szCs w:val="16"/>
        </w:rPr>
        <w:t xml:space="preserve">Общие санитарно-эпидемиологические требования </w:t>
      </w:r>
      <w:r>
        <w:rPr>
          <w:rFonts w:ascii="Times New Roman" w:hAnsi="Times New Roman" w:cs="Times New Roman"/>
          <w:sz w:val="16"/>
          <w:szCs w:val="16"/>
        </w:rPr>
        <w:t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7;</w:t>
      </w:r>
    </w:p>
    <w:p>
      <w:pPr>
        <w:pStyle w:val="8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 1.1.8-24-2003 –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</w:t>
      </w:r>
      <w:r>
        <w:rPr>
          <w:sz w:val="16"/>
          <w:szCs w:val="16"/>
        </w:rPr>
        <w:t>;</w:t>
      </w:r>
    </w:p>
    <w:p>
      <w:pPr>
        <w:pStyle w:val="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 №54 – санитарные правила об организации и проведении мероприятий по уничтожению грызунов, бытовых насекомых, комаров подвальных помещений, утвержденные постановлением Главного государственного санитарного врача Республики Беларусь от 23 августа 2002 г. № 54;</w:t>
      </w: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СанНиП №69 – Санитарные нормы и правила «Санитарно-эпидемиологические требования к системам централизованного хозяйственно-питьевого водоснабжения», утвержденные постановлением Министерства здравоохранения Республики Беларусь от 16.09.2014 №69;</w:t>
      </w: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СанНиП №92 -Санитарные нормы и правила «Требования к контролю воздуха рабочей зоны», Гигиенические нормативы «Предельно допустимые концентрации вредных веществ в воздухе рабочей зоны», «Ориентировочные безопасные уровни воздействия вредных веществ в воздухе рабочей зоны», «Предельно допустимые уровни загрязнения кожных покровов вредными веществами», утвержденные постановлением Министерства здравоохранения Республики Беларусь от 11 октября 2017 № 92, с дополнениями, утвержденными постановлением Министерства здравоохранения Республики Беларусь от 22 декабря 2017 г. № 112, с дополнениями, утвержденными постановлением Министерства здравоохранения Республики Беларусь от 5 января 2018 г. № 4;</w:t>
      </w:r>
    </w:p>
    <w:p>
      <w:pPr>
        <w:pStyle w:val="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Инструкция №90 – Инструкция 1.1.11-11-17-2003 «Порядок проведения гигиенического обучения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воспитанием и обучением детей, коммунальным и бытовым обслуживанием населения, и для инженерно-технических работников организаций и предприятий различных форм собственности», </w:t>
      </w:r>
      <w:bookmarkStart w:id="0" w:name="_GoBack"/>
      <w:r>
        <w:rPr>
          <w:rFonts w:ascii="Times New Roman" w:hAnsi="Times New Roman" w:cs="Times New Roman"/>
          <w:sz w:val="16"/>
          <w:szCs w:val="16"/>
        </w:rPr>
        <w:t>утвержденная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 постановлением Главного государственного санитарного врача Республики Беларусь от 15.08.2003 №90;</w:t>
      </w:r>
    </w:p>
    <w:p>
      <w:pPr>
        <w:pStyle w:val="8"/>
        <w:jc w:val="both"/>
        <w:rPr>
          <w:rStyle w:val="10"/>
          <w:color w:val="auto"/>
          <w:sz w:val="16"/>
          <w:szCs w:val="16"/>
        </w:rPr>
      </w:pPr>
      <w:r>
        <w:rPr>
          <w:rStyle w:val="10"/>
          <w:color w:val="auto"/>
          <w:sz w:val="16"/>
          <w:szCs w:val="16"/>
        </w:rPr>
        <w:t xml:space="preserve">Инструкция №74 – </w:t>
      </w:r>
      <w:r>
        <w:rPr>
          <w:rFonts w:ascii="Times New Roman" w:hAnsi="Times New Roman" w:cs="Times New Roman"/>
          <w:sz w:val="16"/>
          <w:szCs w:val="16"/>
        </w:rPr>
        <w:t>Инструкция о порядке проведения обязательных и внеочередных медицинских осмотров работающих, утвержденная постановлением Министерства здравоохранения Республики Беларусь от 29.07.2019 №74.</w:t>
      </w: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6"/>
    <w:rsid w:val="00004B32"/>
    <w:rsid w:val="00046C8C"/>
    <w:rsid w:val="00062C5A"/>
    <w:rsid w:val="00063D59"/>
    <w:rsid w:val="00081FD6"/>
    <w:rsid w:val="000B704C"/>
    <w:rsid w:val="000C68E7"/>
    <w:rsid w:val="000E3CB6"/>
    <w:rsid w:val="000F214E"/>
    <w:rsid w:val="000F70EE"/>
    <w:rsid w:val="001158DF"/>
    <w:rsid w:val="0012250B"/>
    <w:rsid w:val="001324F6"/>
    <w:rsid w:val="0014004F"/>
    <w:rsid w:val="00146536"/>
    <w:rsid w:val="0015532C"/>
    <w:rsid w:val="0016609E"/>
    <w:rsid w:val="001763CC"/>
    <w:rsid w:val="001C28AA"/>
    <w:rsid w:val="001C6619"/>
    <w:rsid w:val="001E507F"/>
    <w:rsid w:val="001F22D4"/>
    <w:rsid w:val="002126DD"/>
    <w:rsid w:val="002200F5"/>
    <w:rsid w:val="00234904"/>
    <w:rsid w:val="00257D38"/>
    <w:rsid w:val="0026708F"/>
    <w:rsid w:val="0026709F"/>
    <w:rsid w:val="00273E2E"/>
    <w:rsid w:val="0027560B"/>
    <w:rsid w:val="002B1445"/>
    <w:rsid w:val="002B6583"/>
    <w:rsid w:val="002C461E"/>
    <w:rsid w:val="002D7591"/>
    <w:rsid w:val="002F5C57"/>
    <w:rsid w:val="003062EC"/>
    <w:rsid w:val="00324E90"/>
    <w:rsid w:val="00325980"/>
    <w:rsid w:val="0032687C"/>
    <w:rsid w:val="003340CF"/>
    <w:rsid w:val="00334478"/>
    <w:rsid w:val="003664AD"/>
    <w:rsid w:val="00366FCF"/>
    <w:rsid w:val="003673B2"/>
    <w:rsid w:val="00380C0D"/>
    <w:rsid w:val="00392AB9"/>
    <w:rsid w:val="003D1D66"/>
    <w:rsid w:val="003E68E5"/>
    <w:rsid w:val="003F61D5"/>
    <w:rsid w:val="0046471F"/>
    <w:rsid w:val="00464A5D"/>
    <w:rsid w:val="00484B2F"/>
    <w:rsid w:val="004A3909"/>
    <w:rsid w:val="004A3B2B"/>
    <w:rsid w:val="004B6003"/>
    <w:rsid w:val="004E7D18"/>
    <w:rsid w:val="004F0E84"/>
    <w:rsid w:val="004F752A"/>
    <w:rsid w:val="005104BC"/>
    <w:rsid w:val="00521F62"/>
    <w:rsid w:val="005671EA"/>
    <w:rsid w:val="00580DD9"/>
    <w:rsid w:val="00587A5E"/>
    <w:rsid w:val="005967D0"/>
    <w:rsid w:val="005C474C"/>
    <w:rsid w:val="005D3669"/>
    <w:rsid w:val="006101D4"/>
    <w:rsid w:val="00611424"/>
    <w:rsid w:val="00624305"/>
    <w:rsid w:val="00640BD0"/>
    <w:rsid w:val="006451E3"/>
    <w:rsid w:val="006744AD"/>
    <w:rsid w:val="006A7EB8"/>
    <w:rsid w:val="006C0872"/>
    <w:rsid w:val="006E6035"/>
    <w:rsid w:val="007152E2"/>
    <w:rsid w:val="00750197"/>
    <w:rsid w:val="00750F45"/>
    <w:rsid w:val="007562B7"/>
    <w:rsid w:val="00757DD8"/>
    <w:rsid w:val="007A2CB5"/>
    <w:rsid w:val="007A5B59"/>
    <w:rsid w:val="007C5879"/>
    <w:rsid w:val="007D448E"/>
    <w:rsid w:val="007F76D7"/>
    <w:rsid w:val="00810CAD"/>
    <w:rsid w:val="00824A2B"/>
    <w:rsid w:val="00833CAD"/>
    <w:rsid w:val="00844E6A"/>
    <w:rsid w:val="00863654"/>
    <w:rsid w:val="00866430"/>
    <w:rsid w:val="00900C09"/>
    <w:rsid w:val="0091279C"/>
    <w:rsid w:val="00921D85"/>
    <w:rsid w:val="00942C4E"/>
    <w:rsid w:val="00951CFA"/>
    <w:rsid w:val="00952E77"/>
    <w:rsid w:val="00986251"/>
    <w:rsid w:val="00986D6E"/>
    <w:rsid w:val="009877B4"/>
    <w:rsid w:val="00995D3D"/>
    <w:rsid w:val="009E3AEA"/>
    <w:rsid w:val="00A2568A"/>
    <w:rsid w:val="00A267D2"/>
    <w:rsid w:val="00A3160F"/>
    <w:rsid w:val="00A36300"/>
    <w:rsid w:val="00A47DF1"/>
    <w:rsid w:val="00A651E3"/>
    <w:rsid w:val="00A6697E"/>
    <w:rsid w:val="00A76FFE"/>
    <w:rsid w:val="00A77C50"/>
    <w:rsid w:val="00A94011"/>
    <w:rsid w:val="00A940E4"/>
    <w:rsid w:val="00AA6A66"/>
    <w:rsid w:val="00AC17F1"/>
    <w:rsid w:val="00AC4433"/>
    <w:rsid w:val="00AE18C6"/>
    <w:rsid w:val="00AF5B0B"/>
    <w:rsid w:val="00B05C1D"/>
    <w:rsid w:val="00B20E08"/>
    <w:rsid w:val="00B3093E"/>
    <w:rsid w:val="00BE17EA"/>
    <w:rsid w:val="00BF6C98"/>
    <w:rsid w:val="00C02B04"/>
    <w:rsid w:val="00C12C12"/>
    <w:rsid w:val="00C26897"/>
    <w:rsid w:val="00C931EC"/>
    <w:rsid w:val="00C96586"/>
    <w:rsid w:val="00CA31AA"/>
    <w:rsid w:val="00CA65FB"/>
    <w:rsid w:val="00CF1AB6"/>
    <w:rsid w:val="00D22D67"/>
    <w:rsid w:val="00D26443"/>
    <w:rsid w:val="00D300CE"/>
    <w:rsid w:val="00D3125E"/>
    <w:rsid w:val="00D56A2B"/>
    <w:rsid w:val="00D765D7"/>
    <w:rsid w:val="00DF7ACC"/>
    <w:rsid w:val="00E3013C"/>
    <w:rsid w:val="00E4527A"/>
    <w:rsid w:val="00E540BC"/>
    <w:rsid w:val="00E556FF"/>
    <w:rsid w:val="00E60E01"/>
    <w:rsid w:val="00E6314B"/>
    <w:rsid w:val="00E65204"/>
    <w:rsid w:val="00E842D0"/>
    <w:rsid w:val="00ED05FB"/>
    <w:rsid w:val="00EE0217"/>
    <w:rsid w:val="00F4013E"/>
    <w:rsid w:val="00F43C31"/>
    <w:rsid w:val="00F44E75"/>
    <w:rsid w:val="00F55BEF"/>
    <w:rsid w:val="00F562E6"/>
    <w:rsid w:val="00F66D6B"/>
    <w:rsid w:val="00F77C9F"/>
    <w:rsid w:val="00F80F56"/>
    <w:rsid w:val="00F830BA"/>
    <w:rsid w:val="00F90A53"/>
    <w:rsid w:val="00F91F5B"/>
    <w:rsid w:val="00F92E2D"/>
    <w:rsid w:val="00FA0146"/>
    <w:rsid w:val="00FE46F5"/>
    <w:rsid w:val="00FF74FF"/>
    <w:rsid w:val="02BD7ACA"/>
    <w:rsid w:val="407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fontstyle01"/>
    <w:basedOn w:val="3"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11">
    <w:name w:val="fontstyle21"/>
    <w:basedOn w:val="3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styleId="12">
    <w:name w:val="Placeholder Text"/>
    <w:basedOn w:val="3"/>
    <w:semiHidden/>
    <w:uiPriority w:val="99"/>
    <w:rPr>
      <w:color w:val="808080"/>
    </w:rPr>
  </w:style>
  <w:style w:type="character" w:customStyle="1" w:styleId="13">
    <w:name w:val="Текст выноски Знак"/>
    <w:basedOn w:val="3"/>
    <w:link w:val="6"/>
    <w:semiHidden/>
    <w:uiPriority w:val="99"/>
    <w:rPr>
      <w:rFonts w:ascii="Tahoma" w:hAnsi="Tahoma" w:cs="Tahoma"/>
      <w:sz w:val="16"/>
      <w:szCs w:val="16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5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0"/>
      <w:szCs w:val="20"/>
      <w:lang w:val="ru-RU" w:eastAsia="ru-RU" w:bidi="ar-SA"/>
    </w:rPr>
  </w:style>
  <w:style w:type="paragraph" w:customStyle="1" w:styleId="16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7">
    <w:name w:val="newncpi"/>
    <w:basedOn w:val="1"/>
    <w:uiPriority w:val="0"/>
    <w:pPr>
      <w:spacing w:after="0" w:line="240" w:lineRule="auto"/>
      <w:ind w:firstLine="709"/>
      <w:jc w:val="right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customStyle="1" w:styleId="18">
    <w:name w:val="Cap"/>
    <w:basedOn w:val="2"/>
    <w:uiPriority w:val="0"/>
    <w:pPr>
      <w:keepLines w:val="0"/>
      <w:spacing w:before="0" w:line="280" w:lineRule="exact"/>
      <w:ind w:left="5670" w:firstLine="709"/>
      <w:jc w:val="both"/>
    </w:pPr>
    <w:rPr>
      <w:rFonts w:ascii="Times New Roman" w:hAnsi="Times New Roman" w:eastAsia="Times New Roman" w:cs="Times New Roman"/>
      <w:b w:val="0"/>
      <w:bCs w:val="0"/>
      <w:color w:val="auto"/>
      <w:sz w:val="30"/>
      <w:szCs w:val="20"/>
      <w:lang w:eastAsia="ru-RU"/>
    </w:rPr>
  </w:style>
  <w:style w:type="paragraph" w:customStyle="1" w:styleId="19">
    <w:name w:val="titleu"/>
    <w:basedOn w:val="1"/>
    <w:uiPriority w:val="0"/>
    <w:pPr>
      <w:spacing w:after="0" w:line="240" w:lineRule="auto"/>
      <w:ind w:firstLine="709"/>
      <w:jc w:val="both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20">
    <w:name w:val="Заголовок 3 Знак"/>
    <w:basedOn w:val="3"/>
    <w:link w:val="2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17</Pages>
  <Words>3850</Words>
  <Characters>21948</Characters>
  <Lines>182</Lines>
  <Paragraphs>51</Paragraphs>
  <TotalTime>1144</TotalTime>
  <ScaleCrop>false</ScaleCrop>
  <LinksUpToDate>false</LinksUpToDate>
  <CharactersWithSpaces>25747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2022-08-30T12:18:00Z</dcterms:created>
  <dc:creator>Наталья Конышева</dc:creator>
  <cp:lastModifiedBy>user</cp:lastModifiedBy>
  <cp:lastPrinted>2022-09-15T07:07:00Z</cp:lastPrinted>
  <dcterms:modified xsi:type="dcterms:W3CDTF">2022-10-19T10:53:02Z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BFD2A2F1C4AF4D3D822467931C1103AE</vt:lpwstr>
  </property>
</Properties>
</file>